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4AB3" w14:textId="77777777" w:rsidR="0098078F" w:rsidRPr="005B0B0D" w:rsidRDefault="0098078F" w:rsidP="0098078F">
      <w:pPr>
        <w:rPr>
          <w:b/>
          <w:bCs/>
        </w:rPr>
      </w:pPr>
      <w:r w:rsidRPr="005B0B0D">
        <w:rPr>
          <w:b/>
          <w:bCs/>
        </w:rPr>
        <w:t>Bekendmaking van voornemens ten aanzien van gemeentelijke onroerende zaken.</w:t>
      </w:r>
    </w:p>
    <w:p w14:paraId="7E71B48D" w14:textId="62CB6734" w:rsidR="0098078F" w:rsidRDefault="0098078F" w:rsidP="0098078F">
      <w:r>
        <w:t>De Hoge Raad der Nederlanden heeft op 26 november 2021 het ‘Didam’-arrest gewezen. Dit arrest bevestigd dat uit het gelijkheidsbeginsel voor</w:t>
      </w:r>
      <w:r>
        <w:t>t</w:t>
      </w:r>
      <w:r>
        <w:t>vloeit dat een gemeente, die voornemens is een aan hem toebehorende onroerende zaak te verkopen, ruimte moet bieden aan (</w:t>
      </w:r>
      <w:r>
        <w:t>potentiële</w:t>
      </w:r>
      <w:r>
        <w:t xml:space="preserve">) gegadigden om mee te dingen naar deze onroerende zaak indien er meer gegadigden zijn voor de aankoop van de desbetreffende onroerende zaak of redelijkerwijs te verwachten is dat er meerdere gegadigden zullen zijn. </w:t>
      </w:r>
    </w:p>
    <w:p w14:paraId="6B288B6B" w14:textId="0E1D0B90" w:rsidR="0098078F" w:rsidRPr="005B0B0D" w:rsidRDefault="0098078F" w:rsidP="0098078F">
      <w:pPr>
        <w:rPr>
          <w:b/>
          <w:bCs/>
        </w:rPr>
      </w:pPr>
      <w:r w:rsidRPr="005B0B0D">
        <w:rPr>
          <w:b/>
          <w:bCs/>
        </w:rPr>
        <w:t xml:space="preserve">3 mei 2023 </w:t>
      </w:r>
      <w:r w:rsidRPr="005B0B0D">
        <w:rPr>
          <w:b/>
          <w:bCs/>
        </w:rPr>
        <w:t>kennisgeving</w:t>
      </w:r>
      <w:r w:rsidRPr="005B0B0D">
        <w:rPr>
          <w:b/>
          <w:bCs/>
        </w:rPr>
        <w:t xml:space="preserve"> onderhandse verkoop </w:t>
      </w:r>
      <w:r>
        <w:rPr>
          <w:b/>
          <w:bCs/>
        </w:rPr>
        <w:t>230509.VG.05</w:t>
      </w:r>
    </w:p>
    <w:p w14:paraId="0D796E00" w14:textId="280A5746" w:rsidR="0098078F" w:rsidRDefault="0098078F" w:rsidP="0098078F">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Pr>
          <w:b/>
          <w:bCs/>
        </w:rPr>
        <w:t>230509.VG.05</w:t>
      </w:r>
    </w:p>
    <w:p w14:paraId="067DBFA9" w14:textId="5D7A537D" w:rsidR="0098078F" w:rsidRDefault="0098078F" w:rsidP="0098078F">
      <w:r>
        <w:t xml:space="preserve">Het kavel gelegen aan de </w:t>
      </w:r>
      <w:r>
        <w:t xml:space="preserve">Von </w:t>
      </w:r>
      <w:proofErr w:type="spellStart"/>
      <w:r>
        <w:t>Bönninghausenstraat</w:t>
      </w:r>
      <w:proofErr w:type="spellEnd"/>
      <w:r>
        <w:t xml:space="preserve"> 105A</w:t>
      </w:r>
      <w:r>
        <w:t xml:space="preserve">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3114"/>
        <w:gridCol w:w="1984"/>
        <w:gridCol w:w="1698"/>
        <w:gridCol w:w="2266"/>
      </w:tblGrid>
      <w:tr w:rsidR="0098078F" w14:paraId="0950CF43" w14:textId="77777777" w:rsidTr="0098078F">
        <w:tc>
          <w:tcPr>
            <w:tcW w:w="3114" w:type="dxa"/>
          </w:tcPr>
          <w:p w14:paraId="212E58B7" w14:textId="77777777" w:rsidR="0098078F" w:rsidRDefault="0098078F" w:rsidP="009F4D3D">
            <w:r>
              <w:t>Naam locatie</w:t>
            </w:r>
          </w:p>
        </w:tc>
        <w:tc>
          <w:tcPr>
            <w:tcW w:w="1984" w:type="dxa"/>
          </w:tcPr>
          <w:p w14:paraId="0A0E1F4E" w14:textId="77777777" w:rsidR="0098078F" w:rsidRDefault="0098078F" w:rsidP="009F4D3D">
            <w:r>
              <w:t>Kadastraal nummer</w:t>
            </w:r>
          </w:p>
        </w:tc>
        <w:tc>
          <w:tcPr>
            <w:tcW w:w="1698" w:type="dxa"/>
          </w:tcPr>
          <w:p w14:paraId="5AD39700" w14:textId="77777777" w:rsidR="0098078F" w:rsidRDefault="0098078F" w:rsidP="009F4D3D">
            <w:r>
              <w:t>Oppervlakte</w:t>
            </w:r>
          </w:p>
        </w:tc>
        <w:tc>
          <w:tcPr>
            <w:tcW w:w="2266" w:type="dxa"/>
          </w:tcPr>
          <w:p w14:paraId="0254C687" w14:textId="77777777" w:rsidR="0098078F" w:rsidRDefault="0098078F" w:rsidP="009F4D3D">
            <w:r>
              <w:t>Prijs (exclusief BTW)</w:t>
            </w:r>
          </w:p>
        </w:tc>
      </w:tr>
      <w:tr w:rsidR="0098078F" w14:paraId="60E22C19" w14:textId="77777777" w:rsidTr="0098078F">
        <w:tc>
          <w:tcPr>
            <w:tcW w:w="3114" w:type="dxa"/>
          </w:tcPr>
          <w:p w14:paraId="7C2BE2E1" w14:textId="0DC179B1" w:rsidR="0098078F" w:rsidRDefault="0098078F" w:rsidP="009F4D3D">
            <w:r>
              <w:t xml:space="preserve">Von </w:t>
            </w:r>
            <w:proofErr w:type="spellStart"/>
            <w:r>
              <w:t>Bönninghausenstraat</w:t>
            </w:r>
            <w:proofErr w:type="spellEnd"/>
            <w:r>
              <w:t xml:space="preserve"> 105A</w:t>
            </w:r>
          </w:p>
        </w:tc>
        <w:tc>
          <w:tcPr>
            <w:tcW w:w="1984" w:type="dxa"/>
          </w:tcPr>
          <w:p w14:paraId="3AABC2A6" w14:textId="4D6D5A43" w:rsidR="0098078F" w:rsidRDefault="0098078F" w:rsidP="009F4D3D">
            <w:r>
              <w:t>Borne H 1273</w:t>
            </w:r>
          </w:p>
        </w:tc>
        <w:tc>
          <w:tcPr>
            <w:tcW w:w="1698" w:type="dxa"/>
          </w:tcPr>
          <w:p w14:paraId="6A571AAA" w14:textId="4B68C7B0" w:rsidR="0098078F" w:rsidRDefault="0098078F" w:rsidP="009F4D3D">
            <w:r>
              <w:t>25 m2</w:t>
            </w:r>
          </w:p>
        </w:tc>
        <w:tc>
          <w:tcPr>
            <w:tcW w:w="2266" w:type="dxa"/>
          </w:tcPr>
          <w:p w14:paraId="2AA6ED16" w14:textId="581281C0" w:rsidR="0098078F" w:rsidRDefault="0098078F" w:rsidP="009F4D3D">
            <w:r>
              <w:rPr>
                <w:rFonts w:cstheme="minorHAnsi"/>
              </w:rPr>
              <w:t>€</w:t>
            </w:r>
            <w:r>
              <w:t xml:space="preserve"> 7.800,-</w:t>
            </w:r>
          </w:p>
        </w:tc>
      </w:tr>
    </w:tbl>
    <w:p w14:paraId="5FC2A361" w14:textId="77777777" w:rsidR="0098078F" w:rsidRDefault="0098078F" w:rsidP="0098078F"/>
    <w:p w14:paraId="4902BA72" w14:textId="77777777" w:rsidR="0098078F" w:rsidRDefault="0098078F" w:rsidP="0098078F">
      <w:r>
        <w:t>De selectie is gemaakt op basis van de onderstaande criteria:</w:t>
      </w:r>
    </w:p>
    <w:p w14:paraId="08B78B13" w14:textId="77777777" w:rsidR="0098078F" w:rsidRDefault="0098078F" w:rsidP="0098078F">
      <w:pPr>
        <w:pStyle w:val="Lijstalinea"/>
        <w:numPr>
          <w:ilvl w:val="0"/>
          <w:numId w:val="1"/>
        </w:numPr>
      </w:pPr>
      <w:r>
        <w:t>De geselecteerde koper dient te voldoen aan de oppervlakte en de prijs</w:t>
      </w:r>
    </w:p>
    <w:p w14:paraId="045EFB59" w14:textId="38E1DA39" w:rsidR="0098078F" w:rsidRDefault="0098078F" w:rsidP="0098078F">
      <w:pPr>
        <w:pStyle w:val="Lijstalinea"/>
        <w:numPr>
          <w:ilvl w:val="0"/>
          <w:numId w:val="1"/>
        </w:numPr>
      </w:pPr>
      <w:r>
        <w:t>De geselecteerde koper dient te voldoen aan het bestemmingsplan, zoals deze is opgesteld voor deze locatie.</w:t>
      </w:r>
    </w:p>
    <w:p w14:paraId="4B7D8131" w14:textId="1B4F6D97" w:rsidR="0098078F" w:rsidRDefault="0098078F" w:rsidP="0098078F">
      <w:pPr>
        <w:pStyle w:val="Lijstalinea"/>
        <w:numPr>
          <w:ilvl w:val="0"/>
          <w:numId w:val="1"/>
        </w:numPr>
      </w:pPr>
      <w:r>
        <w:t>De geselecteerde koper dient het kavel in te zetten ten behoeve van de data infrastructuur binnen de gemeente Borne.</w:t>
      </w:r>
    </w:p>
    <w:p w14:paraId="4ADD3596" w14:textId="695E2CE6" w:rsidR="0098078F" w:rsidRDefault="0098078F" w:rsidP="0098078F">
      <w:pPr>
        <w:pStyle w:val="Lijstalinea"/>
        <w:numPr>
          <w:ilvl w:val="0"/>
          <w:numId w:val="1"/>
        </w:numPr>
      </w:pPr>
      <w:r>
        <w:t xml:space="preserve">De geselecteerde koper is bij voorkeur </w:t>
      </w:r>
      <w:r>
        <w:t>al actief</w:t>
      </w:r>
      <w:r>
        <w:t xml:space="preserve"> binnen de gemeente Borne, zodat er invulling wordt gegeven aan de wens om lokale partijen voorrang te geven.</w:t>
      </w:r>
    </w:p>
    <w:p w14:paraId="235D946F" w14:textId="77777777" w:rsidR="0098078F" w:rsidRDefault="0098078F" w:rsidP="0098078F"/>
    <w:p w14:paraId="5814311A" w14:textId="0C05D16C" w:rsidR="0098078F" w:rsidRDefault="0098078F" w:rsidP="0098078F">
      <w:r>
        <w:t xml:space="preserve">De gemeente Borne zal </w:t>
      </w:r>
      <w:r w:rsidRPr="0098078F">
        <w:rPr>
          <w:b/>
          <w:bCs/>
        </w:rPr>
        <w:t>na</w:t>
      </w:r>
      <w:r w:rsidRPr="0098078F">
        <w:rPr>
          <w:b/>
          <w:bCs/>
        </w:rPr>
        <w:t xml:space="preserve"> 30 mei 2023</w:t>
      </w:r>
      <w:r>
        <w:t xml:space="preserve"> </w:t>
      </w:r>
      <w:r>
        <w:t>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12038F7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070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8F"/>
    <w:rsid w:val="005F47DD"/>
    <w:rsid w:val="00763799"/>
    <w:rsid w:val="0098078F"/>
    <w:rsid w:val="00CF5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FE1F"/>
  <w15:chartTrackingRefBased/>
  <w15:docId w15:val="{8084B59C-8D53-49C6-B716-AED326E4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7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078F"/>
    <w:rPr>
      <w:color w:val="0563C1" w:themeColor="hyperlink"/>
      <w:u w:val="single"/>
    </w:rPr>
  </w:style>
  <w:style w:type="table" w:styleId="Tabelraster">
    <w:name w:val="Table Grid"/>
    <w:basedOn w:val="Standaardtabel"/>
    <w:uiPriority w:val="39"/>
    <w:rsid w:val="0098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0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Jelle Postma</cp:lastModifiedBy>
  <cp:revision>1</cp:revision>
  <dcterms:created xsi:type="dcterms:W3CDTF">2023-05-08T06:25:00Z</dcterms:created>
  <dcterms:modified xsi:type="dcterms:W3CDTF">2023-05-08T06:36:00Z</dcterms:modified>
</cp:coreProperties>
</file>